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C91B7" w14:textId="219EBD4B"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6B5FAD">
        <w:rPr>
          <w:rFonts w:ascii="Arial" w:eastAsia="MS Mincho" w:hAnsi="Arial" w:cs="Arial"/>
          <w:b/>
          <w:sz w:val="24"/>
          <w:lang w:eastAsia="en-US"/>
        </w:rPr>
        <w:t>5</w:t>
      </w:r>
      <w:r w:rsidRPr="004C60F2">
        <w:rPr>
          <w:rFonts w:ascii="Arial" w:eastAsia="MS Mincho" w:hAnsi="Arial" w:cs="Arial"/>
          <w:b/>
          <w:sz w:val="24"/>
          <w:lang w:eastAsia="en-US"/>
        </w:rPr>
        <w:tab/>
      </w:r>
      <w:r w:rsidR="00894FBC" w:rsidRPr="00894FBC">
        <w:rPr>
          <w:rFonts w:ascii="Arial" w:eastAsia="MS Mincho" w:hAnsi="Arial" w:cs="Arial"/>
          <w:b/>
          <w:sz w:val="24"/>
          <w:lang w:eastAsia="en-US"/>
        </w:rPr>
        <w:t>R2-2401277</w:t>
      </w:r>
    </w:p>
    <w:p w14:paraId="762F07C6" w14:textId="5D03BC48" w:rsidR="00545ADB" w:rsidRPr="004C60F2" w:rsidRDefault="006B5FAD" w:rsidP="00545ADB">
      <w:pPr>
        <w:tabs>
          <w:tab w:val="right" w:pos="9639"/>
        </w:tabs>
        <w:overflowPunct/>
        <w:autoSpaceDE/>
        <w:autoSpaceDN/>
        <w:adjustRightInd/>
        <w:spacing w:after="0"/>
        <w:textAlignment w:val="auto"/>
        <w:rPr>
          <w:rFonts w:ascii="Arial" w:eastAsia="宋体" w:hAnsi="Arial" w:cs="Arial"/>
          <w:b/>
          <w:sz w:val="24"/>
          <w:lang w:eastAsia="en-US"/>
        </w:rPr>
      </w:pPr>
      <w:r w:rsidRPr="006B5FAD">
        <w:rPr>
          <w:rFonts w:ascii="Arial" w:eastAsia="MS Mincho" w:hAnsi="Arial" w:cs="Arial"/>
          <w:b/>
          <w:sz w:val="24"/>
          <w:lang w:eastAsia="en-US"/>
        </w:rPr>
        <w:t>Athens, Greece</w:t>
      </w:r>
      <w:r w:rsidR="00545ADB" w:rsidRPr="004C60F2">
        <w:rPr>
          <w:rFonts w:ascii="Arial" w:eastAsia="MS Mincho" w:hAnsi="Arial" w:cs="Arial"/>
          <w:b/>
          <w:sz w:val="24"/>
          <w:lang w:eastAsia="en-US"/>
        </w:rPr>
        <w:t xml:space="preserve">, </w:t>
      </w:r>
      <w:r w:rsidR="00C92AD5">
        <w:rPr>
          <w:rFonts w:ascii="Arial" w:eastAsia="MS Mincho" w:hAnsi="Arial" w:cs="Arial"/>
          <w:b/>
          <w:sz w:val="24"/>
          <w:lang w:eastAsia="en-US"/>
        </w:rPr>
        <w:t>26</w:t>
      </w:r>
      <w:r w:rsidR="00545ADB" w:rsidRPr="004C60F2">
        <w:rPr>
          <w:rFonts w:ascii="Arial" w:eastAsia="MS Mincho" w:hAnsi="Arial" w:cs="Arial"/>
          <w:b/>
          <w:sz w:val="24"/>
          <w:vertAlign w:val="superscript"/>
          <w:lang w:eastAsia="en-US"/>
        </w:rPr>
        <w:t>th</w:t>
      </w:r>
      <w:r w:rsidR="00545ADB" w:rsidRPr="004C60F2">
        <w:rPr>
          <w:rFonts w:ascii="Arial" w:eastAsia="MS Mincho" w:hAnsi="Arial" w:cs="Arial"/>
          <w:b/>
          <w:sz w:val="24"/>
          <w:lang w:eastAsia="en-US"/>
        </w:rPr>
        <w:t xml:space="preserve"> February – </w:t>
      </w:r>
      <w:r w:rsidR="00C92AD5">
        <w:rPr>
          <w:rFonts w:ascii="Arial" w:eastAsia="MS Mincho" w:hAnsi="Arial" w:cs="Arial"/>
          <w:b/>
          <w:sz w:val="24"/>
          <w:lang w:eastAsia="en-US"/>
        </w:rPr>
        <w:t>1</w:t>
      </w:r>
      <w:r w:rsidR="00C92AD5">
        <w:rPr>
          <w:rFonts w:ascii="Arial" w:eastAsia="MS Mincho" w:hAnsi="Arial" w:cs="Arial"/>
          <w:b/>
          <w:sz w:val="24"/>
          <w:vertAlign w:val="superscript"/>
          <w:lang w:eastAsia="en-US"/>
        </w:rPr>
        <w:t>st</w:t>
      </w:r>
      <w:r w:rsidR="00545ADB" w:rsidRPr="004C60F2">
        <w:rPr>
          <w:rFonts w:ascii="Arial" w:eastAsia="MS Mincho" w:hAnsi="Arial" w:cs="Arial"/>
          <w:b/>
          <w:sz w:val="24"/>
          <w:lang w:eastAsia="en-US"/>
        </w:rPr>
        <w:t xml:space="preserve"> March, 2024</w:t>
      </w:r>
    </w:p>
    <w:p w14:paraId="054A1F29" w14:textId="77777777" w:rsidR="00545ADB" w:rsidRPr="004C60F2" w:rsidRDefault="00545ADB" w:rsidP="00545ADB">
      <w:pPr>
        <w:tabs>
          <w:tab w:val="left" w:pos="1701"/>
          <w:tab w:val="right" w:pos="9639"/>
        </w:tabs>
        <w:spacing w:after="240"/>
        <w:textAlignment w:val="auto"/>
        <w:rPr>
          <w:rFonts w:eastAsia="MS Mincho" w:cs="Arial"/>
          <w:b/>
          <w:sz w:val="24"/>
          <w:szCs w:val="24"/>
          <w:lang w:eastAsia="en-US"/>
        </w:rPr>
      </w:pPr>
    </w:p>
    <w:p w14:paraId="079A0E7D" w14:textId="2C927FE4"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475A5B">
        <w:rPr>
          <w:rFonts w:ascii="Arial" w:eastAsia="MS Mincho" w:hAnsi="Arial" w:cs="Arial"/>
          <w:b/>
          <w:sz w:val="24"/>
          <w:szCs w:val="24"/>
          <w:lang w:eastAsia="en-US"/>
        </w:rPr>
        <w:t>7.</w:t>
      </w:r>
      <w:r w:rsidR="007931A3">
        <w:rPr>
          <w:rFonts w:ascii="Arial" w:eastAsia="MS Mincho" w:hAnsi="Arial" w:cs="Arial"/>
          <w:b/>
          <w:sz w:val="24"/>
          <w:szCs w:val="24"/>
          <w:lang w:eastAsia="en-US"/>
        </w:rPr>
        <w:t>7.</w:t>
      </w:r>
      <w:bookmarkStart w:id="0" w:name="_GoBack"/>
      <w:bookmarkEnd w:id="0"/>
      <w:r w:rsidR="00894FBC">
        <w:rPr>
          <w:rFonts w:ascii="Arial" w:eastAsia="MS Mincho" w:hAnsi="Arial" w:cs="Arial"/>
          <w:b/>
          <w:sz w:val="24"/>
          <w:szCs w:val="24"/>
          <w:lang w:eastAsia="en-US"/>
        </w:rPr>
        <w:t>5</w:t>
      </w:r>
    </w:p>
    <w:p w14:paraId="3C2A736E" w14:textId="77777777" w:rsidR="00545ADB" w:rsidRPr="004C60F2" w:rsidRDefault="00545ADB" w:rsidP="00545ADB">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1C720B30" w:rsidR="00545ADB" w:rsidRPr="004C60F2" w:rsidRDefault="00545ADB" w:rsidP="00545ADB">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894FBC" w:rsidRPr="00894FBC">
        <w:rPr>
          <w:rFonts w:ascii="Arial" w:eastAsia="MS Mincho" w:hAnsi="Arial" w:cs="Arial"/>
          <w:b/>
          <w:sz w:val="24"/>
          <w:szCs w:val="24"/>
          <w:lang w:eastAsia="en-US"/>
        </w:rPr>
        <w:t>Open issues on GNSS enhancements</w:t>
      </w:r>
    </w:p>
    <w:p w14:paraId="2D991995" w14:textId="77777777"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Document for: Discussion</w:t>
      </w:r>
    </w:p>
    <w:p w14:paraId="65772CCA" w14:textId="77777777" w:rsidR="00545ADB" w:rsidRPr="004C60F2" w:rsidRDefault="00545ADB" w:rsidP="00545ADB">
      <w:pPr>
        <w:pStyle w:val="1"/>
        <w:rPr>
          <w:rFonts w:eastAsia="宋体"/>
          <w:lang w:eastAsia="zh-CN"/>
        </w:rPr>
      </w:pPr>
      <w:r w:rsidRPr="004C60F2">
        <w:rPr>
          <w:rFonts w:eastAsia="宋体"/>
          <w:lang w:eastAsia="zh-CN"/>
        </w:rPr>
        <w:t>1</w:t>
      </w:r>
      <w:r w:rsidRPr="004C60F2">
        <w:rPr>
          <w:rFonts w:eastAsia="宋体"/>
          <w:lang w:eastAsia="zh-CN"/>
        </w:rPr>
        <w:tab/>
        <w:t>Introduction</w:t>
      </w:r>
    </w:p>
    <w:p w14:paraId="55FDB3F0" w14:textId="640CF67B" w:rsidR="00330723" w:rsidRDefault="00330723" w:rsidP="00330723">
      <w:pPr>
        <w:spacing w:before="120"/>
        <w:ind w:left="200" w:hangingChars="100" w:hanging="200"/>
      </w:pPr>
      <w:bookmarkStart w:id="1" w:name="_Toc147158671"/>
      <w:bookmarkStart w:id="2" w:name="_Toc61387172"/>
      <w:bookmarkStart w:id="3" w:name="_Toc499559238"/>
      <w:r>
        <w:rPr>
          <w:rFonts w:hint="eastAsia"/>
        </w:rPr>
        <w:t>I</w:t>
      </w:r>
      <w:r>
        <w:t>n RAN2</w:t>
      </w:r>
      <w:r>
        <w:rPr>
          <w:rFonts w:hint="eastAsia"/>
        </w:rPr>
        <w:t>#</w:t>
      </w:r>
      <w:r>
        <w:t>12</w:t>
      </w:r>
      <w:r w:rsidR="00D73588">
        <w:t>4</w:t>
      </w:r>
      <w:r>
        <w:t>, the following agreements were achieved on the enhancement of GNSS operations for IoT NTN:</w:t>
      </w:r>
    </w:p>
    <w:p w14:paraId="3F015268" w14:textId="77777777" w:rsidR="00330723" w:rsidRDefault="00330723" w:rsidP="00F56392">
      <w:pPr>
        <w:pStyle w:val="Doc-text2"/>
        <w:pBdr>
          <w:top w:val="single" w:sz="4" w:space="1" w:color="auto"/>
          <w:left w:val="single" w:sz="4" w:space="4" w:color="auto"/>
          <w:bottom w:val="single" w:sz="4" w:space="1" w:color="auto"/>
          <w:right w:val="single" w:sz="4" w:space="0" w:color="auto"/>
        </w:pBdr>
      </w:pPr>
      <w:r>
        <w:t>Agreements:</w:t>
      </w:r>
    </w:p>
    <w:p w14:paraId="30C32491" w14:textId="77777777" w:rsidR="00330723" w:rsidRDefault="00330723" w:rsidP="00F56392">
      <w:pPr>
        <w:pStyle w:val="Doc-text2"/>
        <w:numPr>
          <w:ilvl w:val="0"/>
          <w:numId w:val="21"/>
        </w:numPr>
        <w:pBdr>
          <w:top w:val="single" w:sz="4" w:space="1" w:color="auto"/>
          <w:left w:val="single" w:sz="4" w:space="4" w:color="auto"/>
          <w:bottom w:val="single" w:sz="4" w:space="1" w:color="auto"/>
          <w:right w:val="single" w:sz="4" w:space="0" w:color="auto"/>
        </w:pBdr>
      </w:pPr>
      <w:r>
        <w:t>The start time of duration X is at the point where original GNSS validity duration expires (The wording can be rephrased based on how to capture it).</w:t>
      </w:r>
    </w:p>
    <w:p w14:paraId="495E9EC6" w14:textId="77777777" w:rsidR="00330723" w:rsidRDefault="00330723" w:rsidP="00F56392">
      <w:pPr>
        <w:pStyle w:val="Doc-text2"/>
        <w:numPr>
          <w:ilvl w:val="0"/>
          <w:numId w:val="21"/>
        </w:numPr>
        <w:pBdr>
          <w:top w:val="single" w:sz="4" w:space="1" w:color="auto"/>
          <w:left w:val="single" w:sz="4" w:space="4" w:color="auto"/>
          <w:bottom w:val="single" w:sz="4" w:space="1" w:color="auto"/>
          <w:right w:val="single" w:sz="4" w:space="0" w:color="auto"/>
        </w:pBdr>
      </w:pPr>
      <w:r>
        <w:t>If an indication of network triggered GNSS measurement is received from lower layers within duration X, UE triggers GNSS measurement (no specification impact).</w:t>
      </w:r>
    </w:p>
    <w:p w14:paraId="4DFDF270" w14:textId="77777777" w:rsidR="00330723" w:rsidRDefault="00330723" w:rsidP="00F56392">
      <w:pPr>
        <w:pStyle w:val="Doc-text2"/>
        <w:numPr>
          <w:ilvl w:val="0"/>
          <w:numId w:val="21"/>
        </w:numPr>
        <w:pBdr>
          <w:top w:val="single" w:sz="4" w:space="1" w:color="auto"/>
          <w:left w:val="single" w:sz="4" w:space="4" w:color="auto"/>
          <w:bottom w:val="single" w:sz="4" w:space="1" w:color="auto"/>
          <w:right w:val="single" w:sz="4" w:space="0" w:color="auto"/>
        </w:pBdr>
      </w:pPr>
      <w:r>
        <w:t xml:space="preserve">For both NB-IoT and </w:t>
      </w:r>
      <w:proofErr w:type="spellStart"/>
      <w:r>
        <w:t>eMTC</w:t>
      </w:r>
      <w:proofErr w:type="spellEnd"/>
      <w:r>
        <w:t xml:space="preserve"> over NTN, use the remaining LCID value for GNSS validity duration report MAC CE.</w:t>
      </w:r>
    </w:p>
    <w:p w14:paraId="224A8ABB" w14:textId="77777777" w:rsidR="00330723" w:rsidRDefault="00330723" w:rsidP="00F56392">
      <w:pPr>
        <w:pStyle w:val="Doc-text2"/>
        <w:numPr>
          <w:ilvl w:val="0"/>
          <w:numId w:val="21"/>
        </w:numPr>
        <w:pBdr>
          <w:top w:val="single" w:sz="4" w:space="1" w:color="auto"/>
          <w:left w:val="single" w:sz="4" w:space="4" w:color="auto"/>
          <w:bottom w:val="single" w:sz="4" w:space="1" w:color="auto"/>
          <w:right w:val="single" w:sz="4" w:space="0" w:color="auto"/>
        </w:pBdr>
      </w:pPr>
      <w:r w:rsidRPr="00FA0467">
        <w:t>UE may use the outdated GNSS position within the duration X at least for mobility. The network can limit the number of times X is extended and/or the value of X (</w:t>
      </w:r>
      <w:r w:rsidRPr="00F56392">
        <w:rPr>
          <w:highlight w:val="green"/>
        </w:rPr>
        <w:t>can check if we need some different behaviour to handle the CHO in Earth Moving Cell case</w:t>
      </w:r>
      <w:r w:rsidRPr="00FA0467">
        <w:t>)</w:t>
      </w:r>
    </w:p>
    <w:p w14:paraId="20B8EBD2" w14:textId="77777777" w:rsidR="00330723" w:rsidRPr="00FA0467" w:rsidRDefault="00330723" w:rsidP="00F56392">
      <w:pPr>
        <w:pStyle w:val="af8"/>
        <w:numPr>
          <w:ilvl w:val="0"/>
          <w:numId w:val="21"/>
        </w:numPr>
        <w:pBdr>
          <w:top w:val="single" w:sz="4" w:space="1" w:color="auto"/>
          <w:left w:val="single" w:sz="4" w:space="4" w:color="auto"/>
          <w:bottom w:val="single" w:sz="4" w:space="1" w:color="auto"/>
          <w:right w:val="single" w:sz="4" w:space="0" w:color="auto"/>
        </w:pBdr>
        <w:overflowPunct/>
        <w:autoSpaceDE/>
        <w:autoSpaceDN/>
        <w:adjustRightInd/>
        <w:spacing w:after="0"/>
        <w:ind w:firstLineChars="0"/>
        <w:textAlignment w:val="auto"/>
        <w:rPr>
          <w:rFonts w:ascii="Arial" w:eastAsia="MS Mincho" w:hAnsi="Arial"/>
          <w:szCs w:val="24"/>
        </w:rPr>
      </w:pPr>
      <w:r w:rsidRPr="00E140C2">
        <w:rPr>
          <w:rFonts w:ascii="Arial" w:eastAsia="MS Mincho" w:hAnsi="Arial"/>
          <w:szCs w:val="24"/>
          <w:highlight w:val="yellow"/>
        </w:rPr>
        <w:t xml:space="preserve">For the case when </w:t>
      </w:r>
      <w:proofErr w:type="spellStart"/>
      <w:r w:rsidRPr="00E140C2">
        <w:rPr>
          <w:rFonts w:ascii="Arial" w:eastAsia="MS Mincho" w:hAnsi="Arial"/>
          <w:szCs w:val="24"/>
          <w:highlight w:val="yellow"/>
        </w:rPr>
        <w:t>timeAlignmentTimer</w:t>
      </w:r>
      <w:proofErr w:type="spellEnd"/>
      <w:r w:rsidRPr="00E140C2">
        <w:rPr>
          <w:rFonts w:ascii="Arial" w:eastAsia="MS Mincho" w:hAnsi="Arial"/>
          <w:szCs w:val="24"/>
          <w:highlight w:val="yellow"/>
        </w:rPr>
        <w:t xml:space="preserve"> is infinity, a (legacy/new) MAC CE is introduced/used to reset </w:t>
      </w:r>
      <w:proofErr w:type="spellStart"/>
      <w:r w:rsidRPr="00E140C2">
        <w:rPr>
          <w:rFonts w:ascii="Arial" w:eastAsia="MS Mincho" w:hAnsi="Arial"/>
          <w:szCs w:val="24"/>
          <w:highlight w:val="yellow"/>
        </w:rPr>
        <w:t>ULTransmissionExtentionTimer</w:t>
      </w:r>
      <w:proofErr w:type="spellEnd"/>
      <w:r w:rsidRPr="00E140C2">
        <w:rPr>
          <w:rFonts w:ascii="Arial" w:eastAsia="MS Mincho" w:hAnsi="Arial"/>
          <w:szCs w:val="24"/>
          <w:highlight w:val="yellow"/>
        </w:rPr>
        <w:t xml:space="preserve"> with length equal to Y)</w:t>
      </w:r>
    </w:p>
    <w:p w14:paraId="49356912" w14:textId="138D47AC" w:rsidR="00330723" w:rsidRPr="00C364CE" w:rsidRDefault="00330723" w:rsidP="00330723">
      <w:pPr>
        <w:pStyle w:val="afd"/>
        <w:spacing w:beforeLines="50" w:before="120"/>
        <w:rPr>
          <w:rFonts w:ascii="Times New Roman" w:hAnsi="Times New Roman"/>
          <w:lang w:val="en-CA"/>
        </w:rPr>
      </w:pPr>
      <w:r w:rsidRPr="00C364CE">
        <w:rPr>
          <w:rFonts w:ascii="Times New Roman" w:hAnsi="Times New Roman"/>
        </w:rPr>
        <w:t xml:space="preserve">In this contribution, we </w:t>
      </w:r>
      <w:r>
        <w:rPr>
          <w:rFonts w:ascii="Times New Roman" w:hAnsi="Times New Roman"/>
        </w:rPr>
        <w:t xml:space="preserve">will further </w:t>
      </w:r>
      <w:r w:rsidRPr="00C364CE">
        <w:rPr>
          <w:rFonts w:ascii="Times New Roman" w:hAnsi="Times New Roman"/>
        </w:rPr>
        <w:t xml:space="preserve">discuss </w:t>
      </w:r>
      <w:r>
        <w:rPr>
          <w:rFonts w:ascii="Times New Roman" w:hAnsi="Times New Roman"/>
        </w:rPr>
        <w:t>the</w:t>
      </w:r>
      <w:r w:rsidRPr="00C364CE">
        <w:rPr>
          <w:rFonts w:ascii="Times New Roman" w:hAnsi="Times New Roman"/>
        </w:rPr>
        <w:t xml:space="preserve"> </w:t>
      </w:r>
      <w:r>
        <w:rPr>
          <w:rFonts w:ascii="Times New Roman" w:hAnsi="Times New Roman"/>
        </w:rPr>
        <w:t xml:space="preserve">remaining issues of </w:t>
      </w:r>
      <w:r w:rsidR="002378A1">
        <w:rPr>
          <w:rFonts w:ascii="Times New Roman" w:hAnsi="Times New Roman"/>
        </w:rPr>
        <w:t>GNSS enhancement</w:t>
      </w:r>
      <w:r>
        <w:rPr>
          <w:rFonts w:ascii="Times New Roman" w:hAnsi="Times New Roman"/>
        </w:rPr>
        <w:t>.</w:t>
      </w:r>
    </w:p>
    <w:p w14:paraId="5A86C9F4" w14:textId="77777777" w:rsidR="00545ADB" w:rsidRDefault="00545ADB" w:rsidP="00F56392">
      <w:pPr>
        <w:pStyle w:val="1"/>
        <w:spacing w:before="120"/>
        <w:rPr>
          <w:rFonts w:eastAsia="宋体"/>
          <w:lang w:eastAsia="zh-CN"/>
        </w:rPr>
      </w:pPr>
      <w:r w:rsidRPr="004C60F2">
        <w:rPr>
          <w:rFonts w:eastAsia="宋体"/>
          <w:lang w:eastAsia="zh-CN"/>
        </w:rPr>
        <w:t>2</w:t>
      </w:r>
      <w:r w:rsidRPr="004C60F2">
        <w:rPr>
          <w:rFonts w:eastAsia="宋体"/>
          <w:lang w:eastAsia="zh-CN"/>
        </w:rPr>
        <w:tab/>
        <w:t>Discussion</w:t>
      </w:r>
      <w:bookmarkEnd w:id="1"/>
      <w:bookmarkEnd w:id="2"/>
      <w:bookmarkEnd w:id="3"/>
    </w:p>
    <w:p w14:paraId="49C93137" w14:textId="2AE8AB84" w:rsidR="00AC7C14" w:rsidRPr="00AC7C14" w:rsidRDefault="00AC7C14" w:rsidP="00F56392">
      <w:pPr>
        <w:pStyle w:val="2"/>
        <w:spacing w:before="120" w:after="120"/>
        <w:rPr>
          <w:rFonts w:eastAsia="宋体"/>
          <w:lang w:eastAsia="zh-CN"/>
        </w:rPr>
      </w:pPr>
      <w:bookmarkStart w:id="4" w:name="_Toc147158672"/>
      <w:bookmarkStart w:id="5" w:name="_Toc61387173"/>
      <w:bookmarkStart w:id="6" w:name="_Toc499559239"/>
      <w:r w:rsidRPr="004C60F2">
        <w:rPr>
          <w:rFonts w:eastAsia="宋体"/>
          <w:lang w:eastAsia="zh-CN"/>
        </w:rPr>
        <w:t>2.1</w:t>
      </w:r>
      <w:r w:rsidRPr="004C60F2">
        <w:rPr>
          <w:rFonts w:eastAsia="宋体"/>
          <w:lang w:eastAsia="zh-CN"/>
        </w:rPr>
        <w:tab/>
      </w:r>
      <w:bookmarkEnd w:id="4"/>
      <w:bookmarkEnd w:id="5"/>
      <w:bookmarkEnd w:id="6"/>
      <w:r w:rsidR="0021002E">
        <w:rPr>
          <w:rFonts w:eastAsia="宋体"/>
          <w:lang w:eastAsia="zh-CN"/>
        </w:rPr>
        <w:t xml:space="preserve">Reset of </w:t>
      </w:r>
      <w:proofErr w:type="spellStart"/>
      <w:r w:rsidR="00012A09" w:rsidRPr="00F56392">
        <w:rPr>
          <w:rFonts w:eastAsia="Malgun Gothic"/>
          <w:i/>
          <w:lang w:eastAsia="de-DE"/>
        </w:rPr>
        <w:t>ULTransmissionExtentionTimer</w:t>
      </w:r>
      <w:proofErr w:type="spellEnd"/>
    </w:p>
    <w:p w14:paraId="3348BE15" w14:textId="618BBF41" w:rsidR="00817F20" w:rsidRDefault="00817F20" w:rsidP="004F6FF8">
      <w:pPr>
        <w:textAlignment w:val="auto"/>
        <w:rPr>
          <w:rFonts w:eastAsia="Malgun Gothic"/>
          <w:lang w:eastAsia="de-DE"/>
        </w:rPr>
      </w:pPr>
      <w:r>
        <w:rPr>
          <w:rFonts w:eastAsia="Malgun Gothic"/>
          <w:lang w:eastAsia="de-DE"/>
        </w:rPr>
        <w:t xml:space="preserve">During the last RAN1 meeting, RAN1 agreed that when the </w:t>
      </w:r>
      <w:proofErr w:type="spellStart"/>
      <w:r w:rsidRPr="00F56392">
        <w:rPr>
          <w:i/>
          <w:lang w:eastAsia="zh-CN"/>
        </w:rPr>
        <w:t>timeAlignmentTimer</w:t>
      </w:r>
      <w:proofErr w:type="spellEnd"/>
      <w:r w:rsidRPr="00EA1E0A">
        <w:rPr>
          <w:rFonts w:eastAsia="Malgun Gothic"/>
          <w:lang w:eastAsia="de-DE"/>
        </w:rPr>
        <w:t xml:space="preserve"> </w:t>
      </w:r>
      <w:r>
        <w:rPr>
          <w:rFonts w:eastAsia="Malgun Gothic"/>
          <w:lang w:eastAsia="de-DE"/>
        </w:rPr>
        <w:t xml:space="preserve">is infinity, a MAC CE is used to reset the </w:t>
      </w:r>
      <w:proofErr w:type="spellStart"/>
      <w:r w:rsidRPr="0023517D">
        <w:rPr>
          <w:rFonts w:eastAsia="Malgun Gothic"/>
          <w:i/>
          <w:lang w:eastAsia="de-DE"/>
        </w:rPr>
        <w:t>ULTransmissionExtentionTimer</w:t>
      </w:r>
      <w:proofErr w:type="spellEnd"/>
      <w:r>
        <w:rPr>
          <w:rFonts w:eastAsia="Malgun Gothic"/>
          <w:i/>
          <w:lang w:eastAsia="de-DE"/>
        </w:rPr>
        <w:t xml:space="preserve"> </w:t>
      </w:r>
      <w:r>
        <w:rPr>
          <w:rFonts w:eastAsia="Malgun Gothic"/>
          <w:lang w:eastAsia="de-DE"/>
        </w:rPr>
        <w:t>with length equal to Y</w:t>
      </w:r>
      <w:r w:rsidR="00525131">
        <w:rPr>
          <w:rFonts w:eastAsia="Malgun Gothic"/>
          <w:lang w:eastAsia="de-DE"/>
        </w:rPr>
        <w:t xml:space="preserve">. Whether using a new MAC CE or the legacy MAC CE for this was discussed in RAN2 but not concluded. </w:t>
      </w:r>
      <w:r>
        <w:rPr>
          <w:rFonts w:eastAsia="Malgun Gothic"/>
          <w:lang w:eastAsia="de-DE"/>
        </w:rPr>
        <w:t xml:space="preserve"> </w:t>
      </w:r>
    </w:p>
    <w:p w14:paraId="120B73B6" w14:textId="605B2768" w:rsidR="00525131" w:rsidRPr="00F56392" w:rsidRDefault="00525131" w:rsidP="004F6FF8">
      <w:pPr>
        <w:textAlignment w:val="auto"/>
        <w:rPr>
          <w:rFonts w:eastAsia="等线"/>
          <w:lang w:eastAsia="zh-CN"/>
        </w:rPr>
      </w:pPr>
      <w:r>
        <w:rPr>
          <w:rFonts w:eastAsia="等线"/>
          <w:lang w:eastAsia="zh-CN"/>
        </w:rPr>
        <w:t xml:space="preserve">Before discussing the infinite TAT case, we can first take a look at the finite TAT case. According to RAN1 agreement, when TAT is finite, the duration X is equal to the remaining time of TAT, if enabled. Then since the TAT will be reset every time the legacy TA command MAC CE is </w:t>
      </w:r>
      <w:proofErr w:type="gramStart"/>
      <w:r>
        <w:rPr>
          <w:rFonts w:eastAsia="等线"/>
          <w:lang w:eastAsia="zh-CN"/>
        </w:rPr>
        <w:t>received,</w:t>
      </w:r>
      <w:proofErr w:type="gramEnd"/>
      <w:r>
        <w:rPr>
          <w:rFonts w:eastAsia="等线"/>
          <w:lang w:eastAsia="zh-CN"/>
        </w:rPr>
        <w:t xml:space="preserve"> the duration X will also be reset to </w:t>
      </w:r>
      <w:r w:rsidR="00C27D3B">
        <w:rPr>
          <w:rFonts w:eastAsia="等线"/>
          <w:lang w:eastAsia="zh-CN"/>
        </w:rPr>
        <w:t xml:space="preserve">the </w:t>
      </w:r>
      <w:r>
        <w:rPr>
          <w:rFonts w:eastAsia="等线"/>
          <w:lang w:eastAsia="zh-CN"/>
        </w:rPr>
        <w:t>TAT length. In other words, for the finite TAT case, the legacy MAC CE is used to reset the duration X.</w:t>
      </w:r>
    </w:p>
    <w:p w14:paraId="0D6DBB67" w14:textId="575F516F" w:rsidR="00B76CDB" w:rsidRDefault="00525131" w:rsidP="004F6FF8">
      <w:pPr>
        <w:textAlignment w:val="auto"/>
        <w:rPr>
          <w:rFonts w:eastAsia="Malgun Gothic"/>
          <w:lang w:eastAsia="de-DE"/>
        </w:rPr>
      </w:pPr>
      <w:r>
        <w:rPr>
          <w:rFonts w:eastAsia="Malgun Gothic"/>
          <w:lang w:eastAsia="de-DE"/>
        </w:rPr>
        <w:t xml:space="preserve">Then we come back to the infinite TAT case. </w:t>
      </w:r>
      <w:r w:rsidR="00C27D3B">
        <w:rPr>
          <w:rFonts w:eastAsia="Malgun Gothic"/>
          <w:lang w:eastAsia="de-DE"/>
        </w:rPr>
        <w:t xml:space="preserve">To our understanding, since TAT is infinite, there is no point to use the TA command MAC CE to reset TAT in this case. Then to align with the finite TAT case, it seems simplest to reuse the TA command MAC CE to reset the </w:t>
      </w:r>
      <w:proofErr w:type="spellStart"/>
      <w:r w:rsidR="00C27D3B" w:rsidRPr="0023517D">
        <w:rPr>
          <w:rFonts w:eastAsia="Malgun Gothic"/>
          <w:i/>
          <w:lang w:eastAsia="de-DE"/>
        </w:rPr>
        <w:t>ULTransmissionExtentionTimer</w:t>
      </w:r>
      <w:proofErr w:type="spellEnd"/>
      <w:r w:rsidR="00C27D3B">
        <w:rPr>
          <w:rFonts w:eastAsia="Malgun Gothic"/>
          <w:i/>
          <w:lang w:eastAsia="de-DE"/>
        </w:rPr>
        <w:t>.</w:t>
      </w:r>
      <w:r w:rsidR="00C27D3B">
        <w:rPr>
          <w:rFonts w:eastAsia="Malgun Gothic"/>
          <w:lang w:eastAsia="de-DE"/>
        </w:rPr>
        <w:t xml:space="preserve"> </w:t>
      </w:r>
      <w:r w:rsidR="00B76CDB">
        <w:rPr>
          <w:rFonts w:eastAsia="Malgun Gothic"/>
          <w:lang w:eastAsia="de-DE"/>
        </w:rPr>
        <w:t xml:space="preserve">There is no need to </w:t>
      </w:r>
      <w:r w:rsidR="00C27D3B">
        <w:rPr>
          <w:rFonts w:eastAsia="Malgun Gothic"/>
          <w:lang w:eastAsia="de-DE"/>
        </w:rPr>
        <w:t xml:space="preserve">specifically </w:t>
      </w:r>
      <w:r w:rsidR="00B76CDB">
        <w:rPr>
          <w:rFonts w:eastAsia="Malgun Gothic"/>
          <w:lang w:eastAsia="de-DE"/>
        </w:rPr>
        <w:t xml:space="preserve">introduce a new MAC CE </w:t>
      </w:r>
      <w:r w:rsidR="00C27D3B">
        <w:rPr>
          <w:rFonts w:eastAsia="Malgun Gothic"/>
          <w:lang w:eastAsia="de-DE"/>
        </w:rPr>
        <w:t>for this purpose</w:t>
      </w:r>
      <w:r w:rsidR="00B76CDB">
        <w:rPr>
          <w:rFonts w:eastAsia="Malgun Gothic"/>
          <w:lang w:eastAsia="de-DE"/>
        </w:rPr>
        <w:t>.</w:t>
      </w:r>
    </w:p>
    <w:p w14:paraId="0BD50485" w14:textId="6D6EE013" w:rsidR="00B526A8" w:rsidRDefault="00B526A8" w:rsidP="00B526A8">
      <w:pPr>
        <w:textAlignment w:val="auto"/>
        <w:rPr>
          <w:rFonts w:eastAsia="Malgun Gothic"/>
          <w:lang w:eastAsia="de-DE"/>
        </w:rPr>
      </w:pPr>
      <w:r>
        <w:rPr>
          <w:rFonts w:eastAsia="Malgun Gothic"/>
          <w:lang w:eastAsia="de-DE"/>
        </w:rPr>
        <w:t xml:space="preserve">Therefore, </w:t>
      </w:r>
      <w:r w:rsidR="00C27D3B">
        <w:rPr>
          <w:rFonts w:eastAsia="Malgun Gothic"/>
          <w:lang w:eastAsia="de-DE"/>
        </w:rPr>
        <w:t>a unified solution is</w:t>
      </w:r>
      <w:r>
        <w:rPr>
          <w:rFonts w:eastAsia="Malgun Gothic"/>
          <w:lang w:eastAsia="de-DE"/>
        </w:rPr>
        <w:t xml:space="preserve"> proposed:</w:t>
      </w:r>
    </w:p>
    <w:p w14:paraId="2BE8C514" w14:textId="5BCBCBB3" w:rsidR="00D900E5" w:rsidRDefault="00D900E5" w:rsidP="00D900E5">
      <w:pPr>
        <w:pStyle w:val="Observation-HW"/>
      </w:pPr>
      <w:r>
        <w:t>Proposal</w:t>
      </w:r>
      <w:r w:rsidRPr="004C60F2">
        <w:t xml:space="preserve"> 1:</w:t>
      </w:r>
      <w:r w:rsidRPr="004C60F2">
        <w:tab/>
      </w:r>
      <w:r w:rsidR="00C27D3B">
        <w:t xml:space="preserve">The </w:t>
      </w:r>
      <w:r>
        <w:t xml:space="preserve">TA command MAC CE </w:t>
      </w:r>
      <w:r w:rsidR="00C27D3B">
        <w:t xml:space="preserve">is used </w:t>
      </w:r>
      <w:r>
        <w:t>to reset</w:t>
      </w:r>
      <w:r w:rsidR="00C27D3B">
        <w:t xml:space="preserve"> </w:t>
      </w:r>
      <w:proofErr w:type="spellStart"/>
      <w:r w:rsidR="00C27D3B" w:rsidRPr="0023517D">
        <w:rPr>
          <w:rFonts w:eastAsia="Malgun Gothic"/>
          <w:i/>
          <w:lang w:eastAsia="de-DE"/>
        </w:rPr>
        <w:t>ULTransmissionExtentionTimer</w:t>
      </w:r>
      <w:proofErr w:type="spellEnd"/>
      <w:r w:rsidR="00C27D3B">
        <w:rPr>
          <w:rFonts w:eastAsia="Malgun Gothic"/>
          <w:i/>
          <w:lang w:eastAsia="de-DE"/>
        </w:rPr>
        <w:t xml:space="preserve"> </w:t>
      </w:r>
      <w:r w:rsidR="00C27D3B">
        <w:rPr>
          <w:rFonts w:eastAsia="Malgun Gothic"/>
          <w:lang w:eastAsia="de-DE"/>
        </w:rPr>
        <w:t>with the length equal to Y</w:t>
      </w:r>
      <w:r w:rsidR="00C27D3B">
        <w:t xml:space="preserve"> when the TAT is infinite and </w:t>
      </w:r>
      <w:r w:rsidR="00671642">
        <w:t xml:space="preserve">is used </w:t>
      </w:r>
      <w:r w:rsidR="00C27D3B">
        <w:t xml:space="preserve">to reset duration </w:t>
      </w:r>
      <w:r w:rsidR="00671642">
        <w:t>X</w:t>
      </w:r>
      <w:r w:rsidR="00C27D3B">
        <w:t xml:space="preserve"> </w:t>
      </w:r>
      <w:r w:rsidR="00671642">
        <w:t xml:space="preserve">with the TAT length </w:t>
      </w:r>
      <w:r>
        <w:t xml:space="preserve">when the </w:t>
      </w:r>
      <w:r w:rsidR="00671642">
        <w:rPr>
          <w:rFonts w:eastAsia="Malgun Gothic"/>
          <w:lang w:eastAsia="de-DE"/>
        </w:rPr>
        <w:t xml:space="preserve">TAT </w:t>
      </w:r>
      <w:r>
        <w:rPr>
          <w:rFonts w:eastAsia="Malgun Gothic"/>
          <w:lang w:eastAsia="de-DE"/>
        </w:rPr>
        <w:t>is finite</w:t>
      </w:r>
      <w:r>
        <w:t>.</w:t>
      </w:r>
    </w:p>
    <w:p w14:paraId="420D183A" w14:textId="77777777" w:rsidR="00B76CDB" w:rsidRDefault="00B76CDB" w:rsidP="00656213">
      <w:pPr>
        <w:pStyle w:val="Observation-HW"/>
      </w:pPr>
    </w:p>
    <w:p w14:paraId="58AAF049" w14:textId="598AEF1D" w:rsidR="009D5A01" w:rsidRPr="00AC7C14" w:rsidRDefault="009D5A01" w:rsidP="009D5A01">
      <w:pPr>
        <w:pStyle w:val="2"/>
        <w:rPr>
          <w:rFonts w:eastAsia="宋体"/>
          <w:lang w:eastAsia="zh-CN"/>
        </w:rPr>
      </w:pPr>
      <w:r>
        <w:rPr>
          <w:rFonts w:eastAsia="宋体"/>
          <w:lang w:eastAsia="zh-CN"/>
        </w:rPr>
        <w:lastRenderedPageBreak/>
        <w:t>2.2</w:t>
      </w:r>
      <w:r w:rsidRPr="004C60F2">
        <w:rPr>
          <w:rFonts w:eastAsia="宋体"/>
          <w:lang w:eastAsia="zh-CN"/>
        </w:rPr>
        <w:tab/>
      </w:r>
      <w:r w:rsidR="002548E5">
        <w:rPr>
          <w:rFonts w:eastAsia="宋体"/>
          <w:lang w:eastAsia="zh-CN"/>
        </w:rPr>
        <w:t xml:space="preserve">CHO </w:t>
      </w:r>
      <w:r w:rsidR="00B526A8">
        <w:rPr>
          <w:rFonts w:eastAsia="宋体"/>
          <w:lang w:eastAsia="zh-CN"/>
        </w:rPr>
        <w:t xml:space="preserve">during </w:t>
      </w:r>
      <w:r w:rsidR="00EA1E0A">
        <w:rPr>
          <w:rFonts w:eastAsia="宋体"/>
          <w:lang w:eastAsia="zh-CN"/>
        </w:rPr>
        <w:t xml:space="preserve">running of </w:t>
      </w:r>
      <w:proofErr w:type="spellStart"/>
      <w:r w:rsidR="00B526A8" w:rsidRPr="00F56392">
        <w:rPr>
          <w:rFonts w:eastAsia="Malgun Gothic"/>
          <w:i/>
          <w:lang w:eastAsia="de-DE"/>
        </w:rPr>
        <w:t>ULTransmissionExtentionTimer</w:t>
      </w:r>
      <w:proofErr w:type="spellEnd"/>
    </w:p>
    <w:p w14:paraId="556F0B5D" w14:textId="79ED12A6" w:rsidR="003C3E0A" w:rsidRDefault="00EA1E0A" w:rsidP="00545ADB">
      <w:pPr>
        <w:textAlignment w:val="auto"/>
        <w:rPr>
          <w:rFonts w:eastAsia="Malgun Gothic"/>
          <w:lang w:eastAsia="de-DE"/>
        </w:rPr>
      </w:pPr>
      <w:r>
        <w:rPr>
          <w:rFonts w:eastAsia="Malgun Gothic"/>
          <w:lang w:eastAsia="de-DE"/>
        </w:rPr>
        <w:t xml:space="preserve">As we know, the intention from RAN1 to introduce duration X and duration Y is to enable </w:t>
      </w:r>
      <w:r w:rsidR="00CF1577">
        <w:rPr>
          <w:rFonts w:eastAsia="Malgun Gothic"/>
          <w:lang w:eastAsia="de-DE"/>
        </w:rPr>
        <w:t>UL data transmission</w:t>
      </w:r>
      <w:r>
        <w:rPr>
          <w:rFonts w:eastAsia="Malgun Gothic"/>
          <w:lang w:eastAsia="de-DE"/>
        </w:rPr>
        <w:t xml:space="preserve"> via close-loop TA when the GNSS is outdated.</w:t>
      </w:r>
      <w:r w:rsidR="004662C2">
        <w:rPr>
          <w:rFonts w:eastAsia="Malgun Gothic"/>
          <w:lang w:eastAsia="de-DE"/>
        </w:rPr>
        <w:t xml:space="preserve"> But this </w:t>
      </w:r>
      <w:r w:rsidR="00657DF3">
        <w:rPr>
          <w:rFonts w:eastAsia="Malgun Gothic"/>
          <w:lang w:eastAsia="de-DE"/>
        </w:rPr>
        <w:t xml:space="preserve">doesn’t mean the GNSS is still valid. </w:t>
      </w:r>
      <w:r w:rsidR="003C3E0A">
        <w:rPr>
          <w:rFonts w:eastAsia="Malgun Gothic"/>
          <w:lang w:eastAsia="de-DE"/>
        </w:rPr>
        <w:t xml:space="preserve">During last meeting, whether the outdated GNSS can be used for mobility in this case was discussed and it was agreed that </w:t>
      </w:r>
      <w:r w:rsidR="003C3E0A" w:rsidRPr="00FA0467">
        <w:t>UE may use the outdated GNSS position within the duration X at least for mobility</w:t>
      </w:r>
      <w:r w:rsidR="003C3E0A">
        <w:t xml:space="preserve">. Specifically, </w:t>
      </w:r>
      <w:r w:rsidR="003C3E0A" w:rsidRPr="00FA0467">
        <w:t>the outdated GNSS position within the duration X</w:t>
      </w:r>
      <w:r w:rsidR="003C3E0A">
        <w:t xml:space="preserve"> may be used for triggering location-based CHO. </w:t>
      </w:r>
      <w:r w:rsidR="003C3E0A">
        <w:rPr>
          <w:rFonts w:eastAsia="Malgun Gothic"/>
          <w:lang w:eastAsia="de-DE"/>
        </w:rPr>
        <w:t xml:space="preserve"> </w:t>
      </w:r>
    </w:p>
    <w:p w14:paraId="728647E0" w14:textId="1DC65CCC" w:rsidR="00EA1E0A" w:rsidRDefault="003C3E0A" w:rsidP="00545ADB">
      <w:pPr>
        <w:textAlignment w:val="auto"/>
        <w:rPr>
          <w:rFonts w:eastAsia="Malgun Gothic"/>
          <w:lang w:eastAsia="de-DE"/>
        </w:rPr>
      </w:pPr>
      <w:r>
        <w:rPr>
          <w:rFonts w:eastAsia="Malgun Gothic"/>
          <w:lang w:eastAsia="de-DE"/>
        </w:rPr>
        <w:t xml:space="preserve">Normally the outdated GNSS shouldn’t be used for </w:t>
      </w:r>
      <w:r>
        <w:t>triggering location-based CHO. But if the UE can somehow maintain a reasonable self-location</w:t>
      </w:r>
      <w:r w:rsidR="00657DF3">
        <w:rPr>
          <w:rFonts w:eastAsia="Malgun Gothic"/>
          <w:lang w:eastAsia="de-DE"/>
        </w:rPr>
        <w:t xml:space="preserve"> </w:t>
      </w:r>
      <w:r>
        <w:rPr>
          <w:rFonts w:eastAsia="Malgun Gothic"/>
          <w:lang w:eastAsia="de-DE"/>
        </w:rPr>
        <w:t xml:space="preserve">by using the outdated GNSS plus relative movement. It would be possible </w:t>
      </w:r>
      <w:r w:rsidR="00882C4B">
        <w:rPr>
          <w:rFonts w:eastAsia="Malgun Gothic"/>
          <w:lang w:eastAsia="de-DE"/>
        </w:rPr>
        <w:t xml:space="preserve">that the location-based CHO can be triggered correctly. </w:t>
      </w:r>
      <w:proofErr w:type="gramStart"/>
      <w:r w:rsidR="00882C4B">
        <w:rPr>
          <w:rFonts w:eastAsia="Malgun Gothic"/>
          <w:lang w:eastAsia="de-DE"/>
        </w:rPr>
        <w:t>Of course</w:t>
      </w:r>
      <w:proofErr w:type="gramEnd"/>
      <w:r w:rsidR="00882C4B">
        <w:rPr>
          <w:rFonts w:eastAsia="Malgun Gothic"/>
          <w:lang w:eastAsia="de-DE"/>
        </w:rPr>
        <w:t xml:space="preserve"> this should be left to UE implementation and shouldn’t be a hard requirement on UE, so we used “UE may use”. Following this logic, we can confirm the current agreement is correct and is applied to both </w:t>
      </w:r>
      <w:r w:rsidR="00882C4B" w:rsidRPr="00882C4B">
        <w:rPr>
          <w:rFonts w:eastAsia="Malgun Gothic"/>
          <w:lang w:eastAsia="de-DE"/>
        </w:rPr>
        <w:t>earth-fixed cell</w:t>
      </w:r>
      <w:r w:rsidR="00882C4B">
        <w:rPr>
          <w:rFonts w:eastAsia="Malgun Gothic"/>
          <w:lang w:eastAsia="de-DE"/>
        </w:rPr>
        <w:t xml:space="preserve"> case and earth-moving cell case. </w:t>
      </w:r>
    </w:p>
    <w:p w14:paraId="62FCF2D5" w14:textId="3A494E04" w:rsidR="004E34FB" w:rsidRDefault="004E34FB" w:rsidP="004E34FB">
      <w:pPr>
        <w:pStyle w:val="Observation-HW"/>
      </w:pPr>
      <w:r>
        <w:t>Proposal</w:t>
      </w:r>
      <w:r w:rsidRPr="004C60F2">
        <w:t xml:space="preserve"> </w:t>
      </w:r>
      <w:r>
        <w:t>2</w:t>
      </w:r>
      <w:r w:rsidRPr="004C60F2">
        <w:t>:</w:t>
      </w:r>
      <w:r w:rsidRPr="004C60F2">
        <w:tab/>
      </w:r>
      <w:r w:rsidR="00882C4B">
        <w:t>Confirm that the previous agreement “</w:t>
      </w:r>
      <w:r w:rsidR="00882C4B" w:rsidRPr="00FA0467">
        <w:t>UE may use the outdated GNSS position within the duration X at least for mobility</w:t>
      </w:r>
      <w:r w:rsidR="00882C4B">
        <w:t xml:space="preserve">” is correct and applies for both </w:t>
      </w:r>
      <w:r w:rsidR="00882C4B" w:rsidRPr="00882C4B">
        <w:rPr>
          <w:rFonts w:eastAsia="Malgun Gothic"/>
          <w:lang w:eastAsia="de-DE"/>
        </w:rPr>
        <w:t>earth-fixed cell</w:t>
      </w:r>
      <w:r w:rsidR="00882C4B">
        <w:rPr>
          <w:rFonts w:eastAsia="Malgun Gothic"/>
          <w:lang w:eastAsia="de-DE"/>
        </w:rPr>
        <w:t xml:space="preserve"> case and earth-moving cell case</w:t>
      </w:r>
      <w:r w:rsidR="00CF1577" w:rsidRPr="00CF1577">
        <w:t>.</w:t>
      </w:r>
    </w:p>
    <w:p w14:paraId="4B3B01CE" w14:textId="77777777" w:rsidR="00CF1577" w:rsidRDefault="00CF1577" w:rsidP="004E34FB">
      <w:pPr>
        <w:pStyle w:val="Observation-HW"/>
      </w:pPr>
    </w:p>
    <w:p w14:paraId="0F106507" w14:textId="06F95A2E" w:rsidR="002548E5" w:rsidRPr="00AC7C14" w:rsidRDefault="002548E5" w:rsidP="002548E5">
      <w:pPr>
        <w:pStyle w:val="2"/>
        <w:rPr>
          <w:rFonts w:eastAsia="宋体"/>
          <w:lang w:eastAsia="zh-CN"/>
        </w:rPr>
      </w:pPr>
      <w:r>
        <w:rPr>
          <w:rFonts w:eastAsia="宋体"/>
          <w:lang w:eastAsia="zh-CN"/>
        </w:rPr>
        <w:t>2.3</w:t>
      </w:r>
      <w:r w:rsidRPr="004C60F2">
        <w:rPr>
          <w:rFonts w:eastAsia="宋体"/>
          <w:lang w:eastAsia="zh-CN"/>
        </w:rPr>
        <w:tab/>
      </w:r>
      <w:r>
        <w:rPr>
          <w:rFonts w:eastAsia="宋体"/>
          <w:lang w:eastAsia="zh-CN"/>
        </w:rPr>
        <w:t>Impact on TA report</w:t>
      </w:r>
    </w:p>
    <w:p w14:paraId="0F1C1A49" w14:textId="77777777" w:rsidR="002548E5" w:rsidRDefault="002548E5" w:rsidP="002548E5">
      <w:pPr>
        <w:rPr>
          <w:lang w:val="en-US"/>
        </w:rPr>
      </w:pPr>
      <w:r>
        <w:rPr>
          <w:lang w:val="en-US"/>
        </w:rPr>
        <w:t>According to current TA reporting procedure, UE will trigger the TAR if variation between the current estimate of the Timing Advance value and the last reported Timing Advance value is equal to or larger than a threshold. This is not affected by the GNSS measurement gap. In other words, TA report may be triggered during a GNSS measurement gap but not sent as the NW will not schedule the UE during the GNSS measurement gap. Then after the GNSS measurement gap ends, the pending TA report will be reported when an UL grant is received.</w:t>
      </w:r>
    </w:p>
    <w:p w14:paraId="44290ECD" w14:textId="77777777" w:rsidR="002548E5" w:rsidRDefault="002548E5" w:rsidP="002548E5">
      <w:pPr>
        <w:rPr>
          <w:lang w:val="en-US"/>
        </w:rPr>
      </w:pPr>
      <w:r>
        <w:rPr>
          <w:lang w:val="en-US"/>
        </w:rPr>
        <w:t>However, it is possible that when the GNSS measurement gap ends the triggering condition of TA report is not satisfied, i.e., the difference between the current TA and the last reported TA is less than the threshold. One reason behind this is that UE may move during the GNSS measurement gap. Another is that the evaluation of TAR triggering may not be accurate during the GNSS measurement gap as the GNSS may be already outdated. To be clearer, the case is showed as below:</w:t>
      </w:r>
    </w:p>
    <w:p w14:paraId="7629B5B9" w14:textId="1F66DCE8" w:rsidR="002548E5" w:rsidRDefault="002548E5" w:rsidP="002548E5">
      <w:pPr>
        <w:jc w:val="center"/>
        <w:rPr>
          <w:rFonts w:hAnsi="宋体"/>
          <w:noProof/>
          <w:lang w:val="en-US"/>
        </w:rPr>
      </w:pPr>
      <w:r>
        <w:rPr>
          <w:noProof/>
          <w:lang w:val="en-US" w:eastAsia="zh-CN"/>
        </w:rPr>
        <w:drawing>
          <wp:inline distT="0" distB="0" distL="0" distR="0" wp14:anchorId="4CAC7548" wp14:editId="10EE4201">
            <wp:extent cx="4260850" cy="21526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0850" cy="2152650"/>
                    </a:xfrm>
                    <a:prstGeom prst="rect">
                      <a:avLst/>
                    </a:prstGeom>
                    <a:noFill/>
                    <a:ln>
                      <a:noFill/>
                    </a:ln>
                  </pic:spPr>
                </pic:pic>
              </a:graphicData>
            </a:graphic>
          </wp:inline>
        </w:drawing>
      </w:r>
    </w:p>
    <w:p w14:paraId="392D5F96" w14:textId="77777777" w:rsidR="002548E5" w:rsidRDefault="002548E5" w:rsidP="002548E5">
      <w:pPr>
        <w:spacing w:after="240"/>
        <w:jc w:val="center"/>
        <w:rPr>
          <w:lang w:val="en-US"/>
        </w:rPr>
      </w:pPr>
      <w:r>
        <w:rPr>
          <w:noProof/>
          <w:lang w:val="en-US"/>
        </w:rPr>
        <w:t>Figure 1. TA report triggering during a GNSS measurement gap</w:t>
      </w:r>
    </w:p>
    <w:p w14:paraId="1CB8CE31" w14:textId="77777777" w:rsidR="002548E5" w:rsidRDefault="002548E5" w:rsidP="002548E5">
      <w:pPr>
        <w:rPr>
          <w:lang w:val="en-US"/>
        </w:rPr>
      </w:pPr>
      <w:r>
        <w:rPr>
          <w:lang w:val="en-US"/>
        </w:rPr>
        <w:t xml:space="preserve">In this case, the TA triggering condition is better to be re-evaluated before UE reports the TA to the NW. </w:t>
      </w:r>
    </w:p>
    <w:p w14:paraId="43DC683A" w14:textId="1EBD558C" w:rsidR="00CF1577" w:rsidRDefault="00CF1577" w:rsidP="00CF1577">
      <w:pPr>
        <w:pStyle w:val="Observation-HW"/>
      </w:pPr>
      <w:r>
        <w:t>Proposal</w:t>
      </w:r>
      <w:r w:rsidRPr="004C60F2">
        <w:t xml:space="preserve"> </w:t>
      </w:r>
      <w:r>
        <w:t>3</w:t>
      </w:r>
      <w:r w:rsidRPr="004C60F2">
        <w:t>:</w:t>
      </w:r>
      <w:r w:rsidRPr="004C60F2">
        <w:tab/>
      </w:r>
      <w:r w:rsidRPr="00CF1577">
        <w:t xml:space="preserve">Before sending the </w:t>
      </w:r>
      <w:proofErr w:type="gramStart"/>
      <w:r w:rsidRPr="00CF1577">
        <w:t>TA</w:t>
      </w:r>
      <w:proofErr w:type="gramEnd"/>
      <w:r w:rsidRPr="00CF1577">
        <w:t xml:space="preserve"> report triggered during the GNSS measurement gap, the triggering condition should be re-evaluated after the GNSS measurement gap.</w:t>
      </w: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2942CAA4" w:rsidR="00545ADB" w:rsidRPr="004C60F2" w:rsidRDefault="00545ADB" w:rsidP="00545ADB">
      <w:pPr>
        <w:textAlignment w:val="auto"/>
        <w:rPr>
          <w:lang w:eastAsia="en-GB"/>
        </w:rPr>
      </w:pPr>
      <w:r w:rsidRPr="004C60F2">
        <w:rPr>
          <w:lang w:eastAsia="en-GB"/>
        </w:rPr>
        <w:t xml:space="preserve">This contribution </w:t>
      </w:r>
      <w:r w:rsidR="00EA1E0A">
        <w:rPr>
          <w:rFonts w:eastAsia="宋体"/>
          <w:lang w:eastAsia="zh-CN"/>
        </w:rPr>
        <w:t>discussed the remaining issues with GNSS enhancement</w:t>
      </w:r>
      <w:r w:rsidR="00656213">
        <w:rPr>
          <w:lang w:eastAsia="en-GB"/>
        </w:rPr>
        <w:t xml:space="preserve">, and </w:t>
      </w:r>
      <w:r w:rsidRPr="004C60F2">
        <w:rPr>
          <w:lang w:eastAsia="en-GB"/>
        </w:rPr>
        <w:t>makes the following proposals:</w:t>
      </w:r>
    </w:p>
    <w:p w14:paraId="4D115632" w14:textId="77777777" w:rsidR="00882C4B" w:rsidRDefault="00882C4B" w:rsidP="00882C4B">
      <w:pPr>
        <w:pStyle w:val="Observation-HW"/>
      </w:pPr>
      <w:r>
        <w:lastRenderedPageBreak/>
        <w:t>Proposal</w:t>
      </w:r>
      <w:r w:rsidRPr="004C60F2">
        <w:t xml:space="preserve"> 1:</w:t>
      </w:r>
      <w:r w:rsidRPr="004C60F2">
        <w:tab/>
      </w:r>
      <w:r>
        <w:t xml:space="preserve">The TA command MAC CE is used to reset </w:t>
      </w:r>
      <w:proofErr w:type="spellStart"/>
      <w:r w:rsidRPr="0023517D">
        <w:rPr>
          <w:rFonts w:eastAsia="Malgun Gothic"/>
          <w:i/>
          <w:lang w:eastAsia="de-DE"/>
        </w:rPr>
        <w:t>ULTransmissionExtentionTimer</w:t>
      </w:r>
      <w:proofErr w:type="spellEnd"/>
      <w:r>
        <w:rPr>
          <w:rFonts w:eastAsia="Malgun Gothic"/>
          <w:i/>
          <w:lang w:eastAsia="de-DE"/>
        </w:rPr>
        <w:t xml:space="preserve"> </w:t>
      </w:r>
      <w:r>
        <w:rPr>
          <w:rFonts w:eastAsia="Malgun Gothic"/>
          <w:lang w:eastAsia="de-DE"/>
        </w:rPr>
        <w:t>with the length equal to Y</w:t>
      </w:r>
      <w:r>
        <w:t xml:space="preserve"> when the TAT is infinite and is used to reset duration X with the TAT length when the </w:t>
      </w:r>
      <w:r>
        <w:rPr>
          <w:rFonts w:eastAsia="Malgun Gothic"/>
          <w:lang w:eastAsia="de-DE"/>
        </w:rPr>
        <w:t>TAT is finite</w:t>
      </w:r>
      <w:r>
        <w:t>.</w:t>
      </w:r>
    </w:p>
    <w:p w14:paraId="2FB4E13C" w14:textId="77777777" w:rsidR="00882C4B" w:rsidRDefault="00882C4B" w:rsidP="00882C4B">
      <w:pPr>
        <w:pStyle w:val="Observation-HW"/>
      </w:pPr>
      <w:r>
        <w:t>Proposal</w:t>
      </w:r>
      <w:r w:rsidRPr="004C60F2">
        <w:t xml:space="preserve"> </w:t>
      </w:r>
      <w:r>
        <w:t>2</w:t>
      </w:r>
      <w:r w:rsidRPr="004C60F2">
        <w:t>:</w:t>
      </w:r>
      <w:r w:rsidRPr="004C60F2">
        <w:tab/>
      </w:r>
      <w:r>
        <w:t>Confirm that the previous agreement “</w:t>
      </w:r>
      <w:r w:rsidRPr="00FA0467">
        <w:t>UE may use the outdated GNSS position within the duration X at least for mobility</w:t>
      </w:r>
      <w:r>
        <w:t xml:space="preserve">” is correct and applies for both </w:t>
      </w:r>
      <w:r w:rsidRPr="00882C4B">
        <w:rPr>
          <w:rFonts w:eastAsia="Malgun Gothic"/>
          <w:lang w:eastAsia="de-DE"/>
        </w:rPr>
        <w:t>earth-fixed cell</w:t>
      </w:r>
      <w:r>
        <w:rPr>
          <w:rFonts w:eastAsia="Malgun Gothic"/>
          <w:lang w:eastAsia="de-DE"/>
        </w:rPr>
        <w:t xml:space="preserve"> case and earth-moving cell case</w:t>
      </w:r>
      <w:r w:rsidRPr="00CF1577">
        <w:t>.</w:t>
      </w:r>
    </w:p>
    <w:p w14:paraId="5B214032" w14:textId="58B47A1B" w:rsidR="00CF1577" w:rsidRDefault="00CF1577" w:rsidP="00CF1577">
      <w:pPr>
        <w:pStyle w:val="Observation-HW"/>
      </w:pPr>
      <w:r>
        <w:t>Proposal</w:t>
      </w:r>
      <w:r w:rsidRPr="004C60F2">
        <w:t xml:space="preserve"> </w:t>
      </w:r>
      <w:r>
        <w:t>3</w:t>
      </w:r>
      <w:r w:rsidRPr="004C60F2">
        <w:t>:</w:t>
      </w:r>
      <w:r w:rsidRPr="004C60F2">
        <w:tab/>
      </w:r>
      <w:r w:rsidRPr="00CF1577">
        <w:t xml:space="preserve">Before sending the </w:t>
      </w:r>
      <w:proofErr w:type="gramStart"/>
      <w:r w:rsidRPr="00CF1577">
        <w:t>TA</w:t>
      </w:r>
      <w:proofErr w:type="gramEnd"/>
      <w:r w:rsidRPr="00CF1577">
        <w:t xml:space="preserve"> report triggered during the GNSS measurement gap, the triggering condition should be re-evaluated after the GNSS measurement gap.</w:t>
      </w:r>
    </w:p>
    <w:sectPr w:rsidR="00CF157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F6568" w14:textId="77777777" w:rsidR="0056558F" w:rsidRPr="00982682" w:rsidRDefault="0056558F">
      <w:r w:rsidRPr="00982682">
        <w:separator/>
      </w:r>
    </w:p>
  </w:endnote>
  <w:endnote w:type="continuationSeparator" w:id="0">
    <w:p w14:paraId="3B6DBCA4" w14:textId="77777777" w:rsidR="0056558F" w:rsidRPr="00982682" w:rsidRDefault="0056558F">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A33CE" w14:textId="77777777" w:rsidR="0056558F" w:rsidRPr="00982682" w:rsidRDefault="0056558F">
      <w:r w:rsidRPr="00982682">
        <w:separator/>
      </w:r>
    </w:p>
  </w:footnote>
  <w:footnote w:type="continuationSeparator" w:id="0">
    <w:p w14:paraId="3605F247" w14:textId="77777777" w:rsidR="0056558F" w:rsidRPr="00982682" w:rsidRDefault="0056558F">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A09B8"/>
    <w:multiLevelType w:val="hybridMultilevel"/>
    <w:tmpl w:val="1644786A"/>
    <w:lvl w:ilvl="0" w:tplc="04090001">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start w:val="1"/>
      <w:numFmt w:val="bullet"/>
      <w:lvlText w:val=""/>
      <w:lvlJc w:val="left"/>
      <w:pPr>
        <w:ind w:left="2392" w:hanging="420"/>
      </w:pPr>
      <w:rPr>
        <w:rFonts w:ascii="Wingdings" w:hAnsi="Wingdings" w:hint="default"/>
      </w:rPr>
    </w:lvl>
    <w:lvl w:ilvl="3" w:tplc="04090001">
      <w:start w:val="1"/>
      <w:numFmt w:val="bullet"/>
      <w:lvlText w:val=""/>
      <w:lvlJc w:val="left"/>
      <w:pPr>
        <w:ind w:left="2812" w:hanging="420"/>
      </w:pPr>
      <w:rPr>
        <w:rFonts w:ascii="Wingdings" w:hAnsi="Wingdings" w:hint="default"/>
      </w:rPr>
    </w:lvl>
    <w:lvl w:ilvl="4" w:tplc="04090003">
      <w:start w:val="1"/>
      <w:numFmt w:val="bullet"/>
      <w:lvlText w:val=""/>
      <w:lvlJc w:val="left"/>
      <w:pPr>
        <w:ind w:left="3232" w:hanging="420"/>
      </w:pPr>
      <w:rPr>
        <w:rFonts w:ascii="Wingdings" w:hAnsi="Wingdings" w:hint="default"/>
      </w:rPr>
    </w:lvl>
    <w:lvl w:ilvl="5" w:tplc="04090005">
      <w:start w:val="1"/>
      <w:numFmt w:val="bullet"/>
      <w:lvlText w:val=""/>
      <w:lvlJc w:val="left"/>
      <w:pPr>
        <w:ind w:left="3652" w:hanging="420"/>
      </w:pPr>
      <w:rPr>
        <w:rFonts w:ascii="Wingdings" w:hAnsi="Wingdings" w:hint="default"/>
      </w:rPr>
    </w:lvl>
    <w:lvl w:ilvl="6" w:tplc="04090001">
      <w:start w:val="1"/>
      <w:numFmt w:val="bullet"/>
      <w:lvlText w:val=""/>
      <w:lvlJc w:val="left"/>
      <w:pPr>
        <w:ind w:left="4072" w:hanging="420"/>
      </w:pPr>
      <w:rPr>
        <w:rFonts w:ascii="Wingdings" w:hAnsi="Wingdings" w:hint="default"/>
      </w:rPr>
    </w:lvl>
    <w:lvl w:ilvl="7" w:tplc="04090003">
      <w:start w:val="1"/>
      <w:numFmt w:val="bullet"/>
      <w:lvlText w:val=""/>
      <w:lvlJc w:val="left"/>
      <w:pPr>
        <w:ind w:left="4492" w:hanging="420"/>
      </w:pPr>
      <w:rPr>
        <w:rFonts w:ascii="Wingdings" w:hAnsi="Wingdings" w:hint="default"/>
      </w:rPr>
    </w:lvl>
    <w:lvl w:ilvl="8" w:tplc="04090005">
      <w:start w:val="1"/>
      <w:numFmt w:val="bullet"/>
      <w:lvlText w:val=""/>
      <w:lvlJc w:val="left"/>
      <w:pPr>
        <w:ind w:left="4912" w:hanging="420"/>
      </w:pPr>
      <w:rPr>
        <w:rFonts w:ascii="Wingdings" w:hAnsi="Wingding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5"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99E6A28"/>
    <w:multiLevelType w:val="hybridMultilevel"/>
    <w:tmpl w:val="F282FBC6"/>
    <w:lvl w:ilvl="0" w:tplc="B71AD8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A206965"/>
    <w:multiLevelType w:val="hybridMultilevel"/>
    <w:tmpl w:val="9BAC8334"/>
    <w:lvl w:ilvl="0" w:tplc="EE860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6"/>
  </w:num>
  <w:num w:numId="2">
    <w:abstractNumId w:val="16"/>
  </w:num>
  <w:num w:numId="3">
    <w:abstractNumId w:val="3"/>
  </w:num>
  <w:num w:numId="4">
    <w:abstractNumId w:val="9"/>
  </w:num>
  <w:num w:numId="5">
    <w:abstractNumId w:val="2"/>
  </w:num>
  <w:num w:numId="6">
    <w:abstractNumId w:val="8"/>
  </w:num>
  <w:num w:numId="7">
    <w:abstractNumId w:val="12"/>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1"/>
  </w:num>
  <w:num w:numId="13">
    <w:abstractNumId w:val="10"/>
  </w:num>
  <w:num w:numId="14">
    <w:abstractNumId w:val="7"/>
  </w:num>
  <w:num w:numId="15">
    <w:abstractNumId w:val="4"/>
  </w:num>
  <w:num w:numId="16">
    <w:abstractNumId w:val="4"/>
  </w:num>
  <w:num w:numId="17">
    <w:abstractNumId w:val="4"/>
  </w:num>
  <w:num w:numId="18">
    <w:abstractNumId w:val="14"/>
  </w:num>
  <w:num w:numId="19">
    <w:abstractNumId w:val="13"/>
  </w:num>
  <w:num w:numId="20">
    <w:abstractNumId w:val="17"/>
  </w:num>
  <w:num w:numId="21">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A09"/>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1C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52D"/>
    <w:rsid w:val="001C6CE9"/>
    <w:rsid w:val="001D02C2"/>
    <w:rsid w:val="001D082B"/>
    <w:rsid w:val="001D1554"/>
    <w:rsid w:val="001D187E"/>
    <w:rsid w:val="001D1C73"/>
    <w:rsid w:val="001D1FC1"/>
    <w:rsid w:val="001D2130"/>
    <w:rsid w:val="001D35FC"/>
    <w:rsid w:val="001D38FD"/>
    <w:rsid w:val="001D3DF7"/>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0D3C"/>
    <w:rsid w:val="002021E0"/>
    <w:rsid w:val="00205615"/>
    <w:rsid w:val="00205F37"/>
    <w:rsid w:val="00206D75"/>
    <w:rsid w:val="00206E13"/>
    <w:rsid w:val="0020716A"/>
    <w:rsid w:val="0021002E"/>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A1"/>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8E5"/>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57D9"/>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5E50"/>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0723"/>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4D6"/>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862"/>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E0A"/>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6AF"/>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30C"/>
    <w:rsid w:val="004658FD"/>
    <w:rsid w:val="004662C2"/>
    <w:rsid w:val="004666CA"/>
    <w:rsid w:val="00466A2C"/>
    <w:rsid w:val="004677E0"/>
    <w:rsid w:val="00470878"/>
    <w:rsid w:val="004717DD"/>
    <w:rsid w:val="00471E8E"/>
    <w:rsid w:val="0047246C"/>
    <w:rsid w:val="00472DD6"/>
    <w:rsid w:val="00472F3B"/>
    <w:rsid w:val="004740B2"/>
    <w:rsid w:val="00474BEE"/>
    <w:rsid w:val="004756DD"/>
    <w:rsid w:val="00475A5B"/>
    <w:rsid w:val="00475EB5"/>
    <w:rsid w:val="0047653F"/>
    <w:rsid w:val="0047670E"/>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2D6"/>
    <w:rsid w:val="004C4670"/>
    <w:rsid w:val="004C4C61"/>
    <w:rsid w:val="004C50C3"/>
    <w:rsid w:val="004C60F2"/>
    <w:rsid w:val="004C6650"/>
    <w:rsid w:val="004C67BC"/>
    <w:rsid w:val="004C69D7"/>
    <w:rsid w:val="004D19B0"/>
    <w:rsid w:val="004D2C4E"/>
    <w:rsid w:val="004D3578"/>
    <w:rsid w:val="004D3884"/>
    <w:rsid w:val="004D3FF3"/>
    <w:rsid w:val="004D463F"/>
    <w:rsid w:val="004D473E"/>
    <w:rsid w:val="004D4859"/>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34F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6FF8"/>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131"/>
    <w:rsid w:val="00525361"/>
    <w:rsid w:val="00525527"/>
    <w:rsid w:val="00526A2E"/>
    <w:rsid w:val="00527CC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ADB"/>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558F"/>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8C7"/>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4990"/>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213"/>
    <w:rsid w:val="006565F7"/>
    <w:rsid w:val="006567DB"/>
    <w:rsid w:val="0065759A"/>
    <w:rsid w:val="00657DF3"/>
    <w:rsid w:val="00661C44"/>
    <w:rsid w:val="00662013"/>
    <w:rsid w:val="006653CB"/>
    <w:rsid w:val="00665665"/>
    <w:rsid w:val="00665AB1"/>
    <w:rsid w:val="00667E1E"/>
    <w:rsid w:val="00670B9A"/>
    <w:rsid w:val="006712C3"/>
    <w:rsid w:val="00671642"/>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5FAD"/>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56A8"/>
    <w:rsid w:val="006F6FF0"/>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8C1"/>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1A3"/>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5D6B"/>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17F20"/>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6577"/>
    <w:rsid w:val="00857149"/>
    <w:rsid w:val="008574AA"/>
    <w:rsid w:val="00857E5D"/>
    <w:rsid w:val="00862833"/>
    <w:rsid w:val="00863E44"/>
    <w:rsid w:val="00864061"/>
    <w:rsid w:val="00864332"/>
    <w:rsid w:val="0086458B"/>
    <w:rsid w:val="008645FE"/>
    <w:rsid w:val="0086510D"/>
    <w:rsid w:val="0086570C"/>
    <w:rsid w:val="00865B1A"/>
    <w:rsid w:val="00865CE4"/>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2C4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4FBC"/>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4C73"/>
    <w:rsid w:val="008B5937"/>
    <w:rsid w:val="008B69D5"/>
    <w:rsid w:val="008B6A24"/>
    <w:rsid w:val="008B7565"/>
    <w:rsid w:val="008B772E"/>
    <w:rsid w:val="008B790F"/>
    <w:rsid w:val="008C1C47"/>
    <w:rsid w:val="008C4346"/>
    <w:rsid w:val="008C4583"/>
    <w:rsid w:val="008C46EC"/>
    <w:rsid w:val="008C4C7C"/>
    <w:rsid w:val="008C5238"/>
    <w:rsid w:val="008C6ACB"/>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145C"/>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345"/>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2A41"/>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72"/>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A01"/>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1E"/>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85C"/>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C7C14"/>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6A8"/>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6CDB"/>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6A1"/>
    <w:rsid w:val="00B9580D"/>
    <w:rsid w:val="00B96118"/>
    <w:rsid w:val="00B964C9"/>
    <w:rsid w:val="00B96B52"/>
    <w:rsid w:val="00B96BCC"/>
    <w:rsid w:val="00BA486E"/>
    <w:rsid w:val="00BA50A1"/>
    <w:rsid w:val="00BA58A9"/>
    <w:rsid w:val="00BA5911"/>
    <w:rsid w:val="00BA693A"/>
    <w:rsid w:val="00BA699F"/>
    <w:rsid w:val="00BA7F57"/>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564"/>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D3B"/>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3880"/>
    <w:rsid w:val="00C84518"/>
    <w:rsid w:val="00C84CCC"/>
    <w:rsid w:val="00C85B7D"/>
    <w:rsid w:val="00C86255"/>
    <w:rsid w:val="00C8751B"/>
    <w:rsid w:val="00C87875"/>
    <w:rsid w:val="00C90B79"/>
    <w:rsid w:val="00C90BDB"/>
    <w:rsid w:val="00C91228"/>
    <w:rsid w:val="00C914DD"/>
    <w:rsid w:val="00C91BCB"/>
    <w:rsid w:val="00C91C18"/>
    <w:rsid w:val="00C92AD5"/>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0BAB"/>
    <w:rsid w:val="00CF1577"/>
    <w:rsid w:val="00CF2408"/>
    <w:rsid w:val="00CF29EA"/>
    <w:rsid w:val="00CF3A73"/>
    <w:rsid w:val="00CF3C4B"/>
    <w:rsid w:val="00CF4ED4"/>
    <w:rsid w:val="00CF6A2D"/>
    <w:rsid w:val="00CF703C"/>
    <w:rsid w:val="00CF73E1"/>
    <w:rsid w:val="00CF7CD0"/>
    <w:rsid w:val="00CF7D91"/>
    <w:rsid w:val="00CF7E70"/>
    <w:rsid w:val="00D00370"/>
    <w:rsid w:val="00D0063E"/>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078B9"/>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4A3F"/>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588"/>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00E5"/>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BA4"/>
    <w:rsid w:val="00DB2D49"/>
    <w:rsid w:val="00DB4672"/>
    <w:rsid w:val="00DB486A"/>
    <w:rsid w:val="00DB551C"/>
    <w:rsid w:val="00DB5F5D"/>
    <w:rsid w:val="00DB6991"/>
    <w:rsid w:val="00DB6F1F"/>
    <w:rsid w:val="00DB7F80"/>
    <w:rsid w:val="00DC0685"/>
    <w:rsid w:val="00DC2B6C"/>
    <w:rsid w:val="00DC309B"/>
    <w:rsid w:val="00DC30C8"/>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2CA"/>
    <w:rsid w:val="00E03F1B"/>
    <w:rsid w:val="00E04692"/>
    <w:rsid w:val="00E04CC9"/>
    <w:rsid w:val="00E0606A"/>
    <w:rsid w:val="00E07AE1"/>
    <w:rsid w:val="00E11B9A"/>
    <w:rsid w:val="00E12540"/>
    <w:rsid w:val="00E12652"/>
    <w:rsid w:val="00E12B71"/>
    <w:rsid w:val="00E13585"/>
    <w:rsid w:val="00E135AE"/>
    <w:rsid w:val="00E140C2"/>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781"/>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1E0A"/>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392"/>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75A"/>
    <w:rsid w:val="00F73988"/>
    <w:rsid w:val="00F73FAC"/>
    <w:rsid w:val="00F74733"/>
    <w:rsid w:val="00F74B84"/>
    <w:rsid w:val="00F75EF0"/>
    <w:rsid w:val="00F76428"/>
    <w:rsid w:val="00F765C4"/>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2492"/>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uiPriority="10"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rsid w:val="002826BE"/>
    <w:pPr>
      <w:ind w:left="0" w:firstLine="0"/>
      <w:outlineLvl w:val="7"/>
    </w:pPr>
  </w:style>
  <w:style w:type="paragraph" w:styleId="9">
    <w:name w:val="heading 9"/>
    <w:basedOn w:val="8"/>
    <w:next w:val="a"/>
    <w:link w:val="90"/>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rsid w:val="002826BE"/>
    <w:rPr>
      <w:b/>
      <w:position w:val="6"/>
      <w:sz w:val="16"/>
    </w:rPr>
  </w:style>
  <w:style w:type="paragraph" w:styleId="ab">
    <w:name w:val="footnote text"/>
    <w:basedOn w:val="a"/>
    <w:link w:val="ac"/>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uiPriority w:val="99"/>
    <w:rsid w:val="00E51EF0"/>
    <w:rPr>
      <w:sz w:val="16"/>
      <w:szCs w:val="16"/>
    </w:rPr>
  </w:style>
  <w:style w:type="character" w:customStyle="1" w:styleId="B3Char2">
    <w:name w:val="B3 Char2"/>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a"/>
    <w:next w:val="a"/>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styleId="af6">
    <w:name w:val="annotation text"/>
    <w:basedOn w:val="a"/>
    <w:link w:val="af7"/>
    <w:uiPriority w:val="99"/>
    <w:unhideWhenUsed/>
    <w:rsid w:val="004C60F2"/>
    <w:pPr>
      <w:textAlignment w:val="auto"/>
    </w:pPr>
    <w:rPr>
      <w:lang w:val="x-none" w:eastAsia="x-none"/>
    </w:rPr>
  </w:style>
  <w:style w:type="character" w:customStyle="1" w:styleId="af7">
    <w:name w:val="批注文字 字符"/>
    <w:basedOn w:val="a0"/>
    <w:link w:val="af6"/>
    <w:uiPriority w:val="99"/>
    <w:qFormat/>
    <w:rsid w:val="004C60F2"/>
    <w:rPr>
      <w:rFonts w:eastAsia="Times New Roman"/>
      <w:lang w:val="x-none" w:eastAsia="x-none"/>
    </w:rPr>
  </w:style>
  <w:style w:type="paragraph" w:customStyle="1" w:styleId="3GPPAgreements">
    <w:name w:val="3GPP Agreements"/>
    <w:basedOn w:val="a"/>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a"/>
    <w:rsid w:val="00FF60C0"/>
    <w:pPr>
      <w:tabs>
        <w:tab w:val="left" w:pos="1701"/>
        <w:tab w:val="right" w:pos="9639"/>
      </w:tabs>
      <w:spacing w:after="240"/>
    </w:pPr>
    <w:rPr>
      <w:b/>
      <w:sz w:val="24"/>
      <w:lang w:eastAsia="en-GB"/>
    </w:rPr>
  </w:style>
  <w:style w:type="paragraph" w:customStyle="1" w:styleId="Agreement">
    <w:name w:val="Agreement"/>
    <w:basedOn w:val="a"/>
    <w:next w:val="a"/>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FF60C0"/>
    <w:rPr>
      <w:rFonts w:eastAsia="MS Mincho"/>
      <w:i/>
      <w:noProof/>
      <w:sz w:val="18"/>
      <w:szCs w:val="24"/>
      <w:lang w:eastAsia="en-GB"/>
    </w:rPr>
  </w:style>
  <w:style w:type="paragraph" w:customStyle="1" w:styleId="EmailDiscussion">
    <w:name w:val="EmailDiscussion"/>
    <w:basedOn w:val="a"/>
    <w:next w:val="a"/>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a"/>
    <w:rsid w:val="00FF60C0"/>
    <w:pPr>
      <w:numPr>
        <w:numId w:val="13"/>
      </w:numPr>
      <w:tabs>
        <w:tab w:val="left" w:pos="1701"/>
      </w:tabs>
    </w:pPr>
    <w:rPr>
      <w:rFonts w:eastAsia="宋体"/>
      <w:b/>
      <w:bCs/>
      <w:lang w:eastAsia="zh-CN"/>
    </w:rPr>
  </w:style>
  <w:style w:type="paragraph" w:customStyle="1" w:styleId="Observation-HW">
    <w:name w:val="Observation-HW"/>
    <w:basedOn w:val="a"/>
    <w:link w:val="Observation-HWChar"/>
    <w:qFormat/>
    <w:rsid w:val="00FF60C0"/>
    <w:pPr>
      <w:ind w:left="1416" w:hangingChars="705" w:hanging="1416"/>
    </w:pPr>
    <w:rPr>
      <w:b/>
      <w:lang w:eastAsia="en-GB"/>
    </w:rPr>
  </w:style>
  <w:style w:type="character" w:customStyle="1" w:styleId="Observation-HWChar">
    <w:name w:val="Observation-HW Char"/>
    <w:basedOn w:val="a0"/>
    <w:link w:val="Observation-HW"/>
    <w:rsid w:val="00FF60C0"/>
    <w:rPr>
      <w:rFonts w:eastAsia="Times New Roman"/>
      <w:b/>
      <w:lang w:eastAsia="en-GB"/>
    </w:rPr>
  </w:style>
  <w:style w:type="paragraph" w:customStyle="1" w:styleId="Proposal">
    <w:name w:val="Proposal"/>
    <w:basedOn w:val="a"/>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a"/>
    <w:link w:val="Proposal-HWChar"/>
    <w:qFormat/>
    <w:rsid w:val="00FF60C0"/>
    <w:pPr>
      <w:ind w:left="1132" w:hangingChars="564" w:hanging="1132"/>
    </w:pPr>
    <w:rPr>
      <w:b/>
      <w:lang w:eastAsia="en-GB"/>
    </w:rPr>
  </w:style>
  <w:style w:type="character" w:customStyle="1" w:styleId="Proposal-HWChar">
    <w:name w:val="Proposal-HW Char"/>
    <w:basedOn w:val="a0"/>
    <w:link w:val="Proposal-HW"/>
    <w:rsid w:val="00FF60C0"/>
    <w:rPr>
      <w:rFonts w:eastAsia="Times New Roman"/>
      <w:b/>
      <w:lang w:eastAsia="en-GB"/>
    </w:rPr>
  </w:style>
  <w:style w:type="paragraph" w:customStyle="1" w:styleId="Recommend-1">
    <w:name w:val="Recommend-1"/>
    <w:basedOn w:val="a"/>
    <w:link w:val="Recommend-1Char"/>
    <w:qFormat/>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a"/>
    <w:qFormat/>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af8"/>
    <w:link w:val="Sub-bulletofproposalChar"/>
    <w:qFormat/>
    <w:rsid w:val="00545ADB"/>
    <w:pPr>
      <w:numPr>
        <w:numId w:val="18"/>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a0"/>
    <w:link w:val="Sub-bulletofproposal"/>
    <w:rsid w:val="00545ADB"/>
    <w:rPr>
      <w:rFonts w:eastAsia="Times New Roman" w:cs="Calibri"/>
      <w:b/>
      <w:szCs w:val="22"/>
      <w:lang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a"/>
    <w:link w:val="af9"/>
    <w:uiPriority w:val="34"/>
    <w:qFormat/>
    <w:rsid w:val="00FF60C0"/>
    <w:pPr>
      <w:ind w:firstLineChars="200" w:firstLine="420"/>
    </w:pPr>
  </w:style>
  <w:style w:type="character" w:styleId="afa">
    <w:name w:val="Hyperlink"/>
    <w:rsid w:val="00953345"/>
    <w:rPr>
      <w:color w:val="0000FF"/>
      <w:u w:val="single"/>
    </w:rPr>
  </w:style>
  <w:style w:type="paragraph" w:styleId="afb">
    <w:name w:val="Title"/>
    <w:basedOn w:val="a"/>
    <w:next w:val="a"/>
    <w:link w:val="afc"/>
    <w:uiPriority w:val="10"/>
    <w:qFormat/>
    <w:rsid w:val="00953345"/>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afc">
    <w:name w:val="标题 字符"/>
    <w:basedOn w:val="a0"/>
    <w:link w:val="afb"/>
    <w:uiPriority w:val="10"/>
    <w:rsid w:val="00953345"/>
    <w:rPr>
      <w:rFonts w:ascii="Arial" w:eastAsia="Times New Roman" w:hAnsi="Arial" w:cs="Arial"/>
      <w:b/>
      <w:bCs/>
      <w:kern w:val="28"/>
      <w:lang w:eastAsia="en-US"/>
    </w:rPr>
  </w:style>
  <w:style w:type="paragraph" w:customStyle="1" w:styleId="Source">
    <w:name w:val="Source"/>
    <w:basedOn w:val="a"/>
    <w:rsid w:val="00953345"/>
    <w:pPr>
      <w:overflowPunct/>
      <w:autoSpaceDE/>
      <w:autoSpaceDN/>
      <w:adjustRightInd/>
      <w:spacing w:after="60"/>
      <w:ind w:left="1985" w:hanging="1985"/>
      <w:textAlignment w:val="auto"/>
    </w:pPr>
    <w:rPr>
      <w:rFonts w:ascii="Arial" w:eastAsia="宋体" w:hAnsi="Arial" w:cs="Arial"/>
      <w:b/>
      <w:lang w:eastAsia="en-US"/>
    </w:rPr>
  </w:style>
  <w:style w:type="paragraph" w:customStyle="1" w:styleId="Contact">
    <w:name w:val="Contact"/>
    <w:basedOn w:val="4"/>
    <w:rsid w:val="00953345"/>
    <w:pPr>
      <w:keepLines w:val="0"/>
      <w:tabs>
        <w:tab w:val="left" w:pos="2268"/>
        <w:tab w:val="left" w:pos="2694"/>
      </w:tabs>
      <w:overflowPunct/>
      <w:autoSpaceDE/>
      <w:autoSpaceDN/>
      <w:adjustRightInd/>
      <w:spacing w:before="0" w:after="0"/>
      <w:ind w:left="567" w:firstLine="0"/>
      <w:textAlignment w:val="auto"/>
    </w:pPr>
    <w:rPr>
      <w:rFonts w:eastAsia="宋体" w:cs="Arial"/>
      <w:b/>
      <w:sz w:val="20"/>
      <w:lang w:eastAsia="en-US"/>
    </w:rPr>
  </w:style>
  <w:style w:type="paragraph" w:customStyle="1" w:styleId="FirstChange">
    <w:name w:val="First Change"/>
    <w:basedOn w:val="a"/>
    <w:qFormat/>
    <w:rsid w:val="00982A41"/>
    <w:pPr>
      <w:overflowPunct/>
      <w:autoSpaceDE/>
      <w:autoSpaceDN/>
      <w:adjustRightInd/>
      <w:jc w:val="center"/>
      <w:textAlignment w:val="auto"/>
    </w:pPr>
    <w:rPr>
      <w:rFonts w:eastAsia="宋体"/>
      <w:color w:val="FF0000"/>
      <w:lang w:eastAsia="en-US"/>
    </w:rPr>
  </w:style>
  <w:style w:type="character" w:customStyle="1" w:styleId="B1Zchn">
    <w:name w:val="B1 Zchn"/>
    <w:qFormat/>
    <w:rsid w:val="00982A41"/>
    <w:rPr>
      <w:rFonts w:eastAsia="Times New Roman"/>
    </w:rPr>
  </w:style>
  <w:style w:type="paragraph" w:styleId="afd">
    <w:name w:val="Body Text"/>
    <w:basedOn w:val="a"/>
    <w:link w:val="afe"/>
    <w:rsid w:val="00330723"/>
    <w:pPr>
      <w:spacing w:after="120"/>
      <w:jc w:val="both"/>
    </w:pPr>
    <w:rPr>
      <w:rFonts w:ascii="Batang" w:eastAsia="宋体" w:hAnsi="Batang" w:cs="Tahoma"/>
      <w:lang w:eastAsia="zh-CN"/>
    </w:rPr>
  </w:style>
  <w:style w:type="character" w:customStyle="1" w:styleId="afe">
    <w:name w:val="正文文本 字符"/>
    <w:basedOn w:val="a0"/>
    <w:link w:val="afd"/>
    <w:rsid w:val="00330723"/>
    <w:rPr>
      <w:rFonts w:ascii="Batang" w:eastAsia="宋体" w:hAnsi="Batang" w:cs="Tahoma"/>
      <w:lang w:eastAsia="zh-CN"/>
    </w:rPr>
  </w:style>
  <w:style w:type="paragraph" w:customStyle="1" w:styleId="Doc-text2">
    <w:name w:val="Doc-text2"/>
    <w:basedOn w:val="a"/>
    <w:link w:val="Doc-text2Char"/>
    <w:qFormat/>
    <w:rsid w:val="0033072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0723"/>
    <w:rPr>
      <w:rFonts w:ascii="Arial" w:eastAsia="MS Mincho" w:hAnsi="Arial"/>
      <w:szCs w:val="24"/>
      <w:lang w:eastAsia="en-GB"/>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33072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8F25CB-8457-4F27-88CA-8AAFD2120117}">
  <ds:schemaRefs>
    <ds:schemaRef ds:uri="http://schemas.openxmlformats.org/officeDocument/2006/bibliography"/>
  </ds:schemaRefs>
</ds:datastoreItem>
</file>

<file path=customXml/itemProps2.xml><?xml version="1.0" encoding="utf-8"?>
<ds:datastoreItem xmlns:ds="http://schemas.openxmlformats.org/officeDocument/2006/customXml" ds:itemID="{C64148C9-2AF1-46D7-BB52-F7E29E422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1545</TotalTime>
  <Pages>3</Pages>
  <Words>898</Words>
  <Characters>5123</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6009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 HiSilicon</cp:lastModifiedBy>
  <cp:revision>29</cp:revision>
  <dcterms:created xsi:type="dcterms:W3CDTF">2024-01-30T11:16:00Z</dcterms:created>
  <dcterms:modified xsi:type="dcterms:W3CDTF">2024-02-19T10:01:00Z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(3)TOQxWtLslw9SlaYB4+qKXPMsIBd031nh3k2w3GSgFiO1iswh0sC+3RH2BvuthERpJ5q9wun6
g5VEYp7rj0nDaeS/i0r2ZCDrSNdMEgo+TN+dcyn4D6fDm9RE4jVJQPF2iQTPMebtVJpCH+sR
S9bbHCbLwijal+PTbhoW10umOu5rkp19s5cWI01Ok5HGFcUlbRQRtkYleIBVT1URN9GXVuIz
zpUCfC3B4A4g42v4Z6</vt:lpwstr>
  </property>
  <property fmtid="{D5CDD505-2E9C-101B-9397-08002B2CF9AE}" pid="4" name="_2015_ms_pID_7253431">
    <vt:lpwstr>9YZVg6Ewmoq1TqnwtRUey9BSTWbZx1jzPceoH8efhtB0AoNQpxkPX+
hDjDViNBeXAE5ukKemiPHeDqc62nh5jRufX2NCnt/lg4Uekg1zoO5qwrY6ZMytfN2SH5I5gO
2HB11buSVoP0/AKhlmaEg4U5W+dhNjrjUJJ/B/T0WV4F6qSg2rDa3azyCb42Oc5ZZSVQbfL/
QMlrIVvkrrYziMlS58ESKoOTFwJoKoZzeDYt</vt:lpwstr>
  </property>
  <property fmtid="{D5CDD505-2E9C-101B-9397-08002B2CF9AE}" pid="5" name="_2015_ms_pID_7253432">
    <vt:lpwstr>RA==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1706167319</vt:lpwstr>
  </property>
</Properties>
</file>